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A2B2" w14:textId="27F06890" w:rsidR="005F3588" w:rsidRPr="005F3588" w:rsidRDefault="005F3588" w:rsidP="005F3588">
      <w:pPr>
        <w:jc w:val="both"/>
        <w:rPr>
          <w:rFonts w:ascii="Arial" w:hAnsi="Arial" w:cs="Arial"/>
          <w:b/>
          <w:bCs/>
        </w:rPr>
      </w:pPr>
      <w:r w:rsidRPr="005F3588">
        <w:rPr>
          <w:rFonts w:ascii="Arial" w:hAnsi="Arial" w:cs="Arial"/>
          <w:b/>
          <w:bCs/>
        </w:rPr>
        <w:t>SUBVENCIONES DESTINADAS A PROYECTOS DE EFICIENCIA ENERGÉTICA EN ALOJAMIENTOS TURÍSTICOS,</w:t>
      </w:r>
    </w:p>
    <w:p w14:paraId="1ED38102" w14:textId="3308DEDA" w:rsidR="005F3588" w:rsidRPr="005F3588" w:rsidRDefault="005F3588" w:rsidP="005F3588">
      <w:pPr>
        <w:jc w:val="both"/>
        <w:rPr>
          <w:rFonts w:ascii="Arial" w:hAnsi="Arial" w:cs="Arial"/>
        </w:rPr>
      </w:pPr>
    </w:p>
    <w:p w14:paraId="765A22B7" w14:textId="3E7C64FC" w:rsidR="005F3588" w:rsidRPr="005F3588" w:rsidRDefault="005F3588" w:rsidP="005F3588">
      <w:pPr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 xml:space="preserve">En el Boletín Oficial de Castilla y León de 28 de diciembre de 2022 se han publicado las bases y convocatoria de las subvenciones destinadas a proyectos de eficiencia energética y economía circular de empresas turísticas, financiados por los Fondos Europeos Next </w:t>
      </w:r>
      <w:proofErr w:type="spellStart"/>
      <w:r w:rsidRPr="005F3588">
        <w:rPr>
          <w:rFonts w:ascii="Arial" w:hAnsi="Arial" w:cs="Arial"/>
        </w:rPr>
        <w:t>Generation</w:t>
      </w:r>
      <w:proofErr w:type="spellEnd"/>
      <w:r w:rsidRPr="005F3588">
        <w:rPr>
          <w:rFonts w:ascii="Arial" w:hAnsi="Arial" w:cs="Arial"/>
        </w:rPr>
        <w:t xml:space="preserve">-EU, en el marco del componente 14, inversión 4, </w:t>
      </w:r>
      <w:proofErr w:type="spellStart"/>
      <w:r w:rsidRPr="005F3588">
        <w:rPr>
          <w:rFonts w:ascii="Arial" w:hAnsi="Arial" w:cs="Arial"/>
        </w:rPr>
        <w:t>submedida</w:t>
      </w:r>
      <w:proofErr w:type="spellEnd"/>
      <w:r w:rsidRPr="005F3588">
        <w:rPr>
          <w:rFonts w:ascii="Arial" w:hAnsi="Arial" w:cs="Arial"/>
        </w:rPr>
        <w:t xml:space="preserve"> 2 del Plan de Recuperación, Transformación y Resiliencia.</w:t>
      </w:r>
    </w:p>
    <w:p w14:paraId="6AC7AAB1" w14:textId="08EC3639" w:rsidR="0005012B" w:rsidRPr="005F3588" w:rsidRDefault="0005012B" w:rsidP="005F3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plazo de presentación de solicitudes finaliza el 10 de marzo de 2023, para esta convocatoria a la que se destinan 16 millones de euros, con los que se pretende alcanzar el hito de 252 establecimientos mejorados.</w:t>
      </w:r>
    </w:p>
    <w:p w14:paraId="66953D3A" w14:textId="06B736A6" w:rsidR="005F3588" w:rsidRPr="005F3588" w:rsidRDefault="005F3588" w:rsidP="005F3588">
      <w:pPr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>Las pueden solicitar tanto los propietarios de los inmuebles, como los gestores de los alojamientos.</w:t>
      </w:r>
    </w:p>
    <w:p w14:paraId="5EE6E228" w14:textId="77777777" w:rsidR="005F3588" w:rsidRPr="005F3588" w:rsidRDefault="005F3588" w:rsidP="005F3588">
      <w:pPr>
        <w:shd w:val="clear" w:color="auto" w:fill="FFFFFF"/>
        <w:spacing w:after="480" w:line="420" w:lineRule="atLeast"/>
        <w:jc w:val="both"/>
        <w:outlineLvl w:val="1"/>
        <w:rPr>
          <w:rFonts w:ascii="Arial" w:hAnsi="Arial" w:cs="Arial"/>
        </w:rPr>
      </w:pPr>
      <w:r w:rsidRPr="005F3588">
        <w:rPr>
          <w:rFonts w:ascii="Arial" w:hAnsi="Arial" w:cs="Arial"/>
        </w:rPr>
        <w:t>Son alojamientos turísticos los siguientes:</w:t>
      </w:r>
    </w:p>
    <w:p w14:paraId="5A7F0660" w14:textId="77777777" w:rsidR="005F3588" w:rsidRP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>Alojamientos hoteleros: Hotel, Hotel Apartamento, Motel, Hostal y Pensión.</w:t>
      </w:r>
    </w:p>
    <w:p w14:paraId="562475A7" w14:textId="77777777" w:rsidR="005F3588" w:rsidRP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 xml:space="preserve">Alojamientos de turismo rural: Hotel Rural, Posada y Casa Rural. </w:t>
      </w:r>
    </w:p>
    <w:p w14:paraId="4FC26D45" w14:textId="77777777" w:rsidR="005F3588" w:rsidRP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>Apartamentos turísticos.</w:t>
      </w:r>
    </w:p>
    <w:p w14:paraId="70E6D597" w14:textId="77777777" w:rsidR="005F3588" w:rsidRP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>Campings.</w:t>
      </w:r>
    </w:p>
    <w:p w14:paraId="629D06C7" w14:textId="77777777" w:rsidR="005F3588" w:rsidRP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>Albergues en régimen turístico.</w:t>
      </w:r>
    </w:p>
    <w:p w14:paraId="3D19E320" w14:textId="29CD0CDA" w:rsidR="005F3588" w:rsidRDefault="005F3588" w:rsidP="0005012B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Arial" w:hAnsi="Arial" w:cs="Arial"/>
        </w:rPr>
      </w:pPr>
      <w:r w:rsidRPr="005F3588">
        <w:rPr>
          <w:rFonts w:ascii="Arial" w:hAnsi="Arial" w:cs="Arial"/>
        </w:rPr>
        <w:t xml:space="preserve"> Viviendas de uso turístico.</w:t>
      </w:r>
    </w:p>
    <w:p w14:paraId="193F64F9" w14:textId="77777777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Las actuaciones para las que pueden solicitarse las subvenciones serán las siguientes:</w:t>
      </w:r>
    </w:p>
    <w:p w14:paraId="3011578E" w14:textId="77777777" w:rsidR="0005012B" w:rsidRPr="0005012B" w:rsidRDefault="0005012B" w:rsidP="0005012B">
      <w:pPr>
        <w:spacing w:before="100" w:beforeAutospacing="1" w:after="240" w:line="240" w:lineRule="auto"/>
        <w:ind w:left="708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a)</w:t>
      </w:r>
      <w:r w:rsidRPr="0005012B">
        <w:rPr>
          <w:rFonts w:ascii="Arial" w:hAnsi="Arial" w:cs="Arial"/>
        </w:rPr>
        <w:tab/>
        <w:t>Mejora de la eficiencia energética de la envolvente térmica.</w:t>
      </w:r>
    </w:p>
    <w:p w14:paraId="2458A4A8" w14:textId="77777777" w:rsidR="0005012B" w:rsidRPr="0005012B" w:rsidRDefault="0005012B" w:rsidP="0005012B">
      <w:pPr>
        <w:spacing w:before="100" w:beforeAutospacing="1" w:after="240" w:line="240" w:lineRule="auto"/>
        <w:ind w:left="708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b)</w:t>
      </w:r>
      <w:r w:rsidRPr="0005012B">
        <w:rPr>
          <w:rFonts w:ascii="Arial" w:hAnsi="Arial" w:cs="Arial"/>
        </w:rPr>
        <w:tab/>
        <w:t>Mejora de la eficiencia energética y uso de energías renovables en las instalaciones térmicas de calefacción, climatización, refrigeración, ventilación y agua caliente sanitaria; incluida la instalación de redes de calor y frío alimentadas por fuentes de energía renovable y/o calor residual para complejos turísticos de varios edificios.</w:t>
      </w:r>
    </w:p>
    <w:p w14:paraId="3B2A3888" w14:textId="4416C767" w:rsidR="006E2CB1" w:rsidRDefault="0005012B" w:rsidP="006E2CB1">
      <w:pPr>
        <w:spacing w:before="100" w:beforeAutospacing="1" w:after="240" w:line="240" w:lineRule="auto"/>
        <w:ind w:left="708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c)</w:t>
      </w:r>
      <w:r w:rsidRPr="0005012B">
        <w:rPr>
          <w:rFonts w:ascii="Arial" w:hAnsi="Arial" w:cs="Arial"/>
        </w:rPr>
        <w:tab/>
        <w:t>Mejora de la eficiencia energética de las instalaciones de iluminación.</w:t>
      </w:r>
    </w:p>
    <w:p w14:paraId="38EC9FDF" w14:textId="0182566A" w:rsidR="006E2CB1" w:rsidRDefault="006E2CB1" w:rsidP="006E2CB1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6E2CB1">
        <w:rPr>
          <w:rFonts w:ascii="Arial" w:hAnsi="Arial" w:cs="Arial"/>
        </w:rPr>
        <w:t xml:space="preserve">La complejidad </w:t>
      </w:r>
      <w:r>
        <w:rPr>
          <w:rFonts w:ascii="Arial" w:hAnsi="Arial" w:cs="Arial"/>
        </w:rPr>
        <w:t>de estas subvenciones</w:t>
      </w:r>
      <w:r w:rsidRPr="006E2CB1">
        <w:rPr>
          <w:rFonts w:ascii="Arial" w:hAnsi="Arial" w:cs="Arial"/>
        </w:rPr>
        <w:t>, tanto en lo que se refiere a su solicitud, como a su gestión y justificación, va a hacer preciso que los solicitantes sean asistidos por profesionales que deberán redactar los proyectos y la documentación técnica requerida, así como complementar las solicitudes y justificación, por ello, entre los gastos subvencionables, además de los de la inversión a realizar, se incluyen también los derivados de la gestión de la subvención y los costes de redacción de informes y demás documentación requerida para la solicitud y justificación de la subvención</w:t>
      </w:r>
      <w:r>
        <w:rPr>
          <w:rFonts w:ascii="Arial" w:hAnsi="Arial" w:cs="Arial"/>
        </w:rPr>
        <w:t>.</w:t>
      </w:r>
    </w:p>
    <w:p w14:paraId="5CE9CBBF" w14:textId="77777777" w:rsidR="006E2CB1" w:rsidRDefault="006E2CB1" w:rsidP="006E2CB1">
      <w:pPr>
        <w:spacing w:before="100" w:beforeAutospacing="1" w:after="240" w:line="240" w:lineRule="auto"/>
        <w:ind w:left="708"/>
        <w:jc w:val="both"/>
        <w:rPr>
          <w:rFonts w:ascii="Arial" w:hAnsi="Arial" w:cs="Arial"/>
        </w:rPr>
      </w:pPr>
    </w:p>
    <w:p w14:paraId="4A99BEB5" w14:textId="0F9C787B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Las actuaciones </w:t>
      </w:r>
      <w:r w:rsidRPr="0005012B">
        <w:rPr>
          <w:rFonts w:ascii="Arial" w:hAnsi="Arial" w:cs="Arial"/>
        </w:rPr>
        <w:t>deben realizarse sobre edificios completos cuyo año de construcción sea anterior a 2007. No serán subvencionables las intervenciones en edificios existentes que supongan una ampliación, en los que se incremente la superficie o volumen construido.</w:t>
      </w:r>
    </w:p>
    <w:p w14:paraId="0735FAE0" w14:textId="77777777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 xml:space="preserve">Las actuaciones para las que se solite la ayuda tendrán que conseguir y justificar una reducción del consumo de energía primaria no renovable del 30% con respecto a la situación de partida. </w:t>
      </w:r>
      <w:proofErr w:type="gramStart"/>
      <w:r w:rsidRPr="0005012B">
        <w:rPr>
          <w:rFonts w:ascii="Arial" w:hAnsi="Arial" w:cs="Arial"/>
        </w:rPr>
        <w:t>Asimismo</w:t>
      </w:r>
      <w:proofErr w:type="gramEnd"/>
      <w:r w:rsidRPr="0005012B">
        <w:rPr>
          <w:rFonts w:ascii="Arial" w:hAnsi="Arial" w:cs="Arial"/>
        </w:rPr>
        <w:t xml:space="preserve"> deben mejorar la calificación energética total del edificio en, al menos, una letra, medida en la escala de emisiones de dióxido de carbono (kg CO</w:t>
      </w:r>
      <w:r w:rsidRPr="00554E2E">
        <w:rPr>
          <w:rFonts w:ascii="Arial" w:hAnsi="Arial" w:cs="Arial"/>
          <w:vertAlign w:val="superscript"/>
        </w:rPr>
        <w:t>2</w:t>
      </w:r>
      <w:r w:rsidRPr="0005012B">
        <w:rPr>
          <w:rFonts w:ascii="Arial" w:hAnsi="Arial" w:cs="Arial"/>
        </w:rPr>
        <w:t>/m</w:t>
      </w:r>
      <w:r w:rsidRPr="00554E2E">
        <w:rPr>
          <w:rFonts w:ascii="Arial" w:hAnsi="Arial" w:cs="Arial"/>
          <w:vertAlign w:val="superscript"/>
        </w:rPr>
        <w:t>2</w:t>
      </w:r>
      <w:r w:rsidRPr="0005012B">
        <w:rPr>
          <w:rFonts w:ascii="Arial" w:hAnsi="Arial" w:cs="Arial"/>
        </w:rPr>
        <w:t xml:space="preserve"> año), con respecto a la calificación energética inicial del edificio.</w:t>
      </w:r>
    </w:p>
    <w:p w14:paraId="3A72CC81" w14:textId="4728DB9D" w:rsid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Se establece un límite mínimo de inversión aprobada de 30</w:t>
      </w:r>
      <w:r>
        <w:rPr>
          <w:rFonts w:ascii="Arial" w:hAnsi="Arial" w:cs="Arial"/>
        </w:rPr>
        <w:t xml:space="preserve"> </w:t>
      </w:r>
      <w:r w:rsidRPr="0005012B">
        <w:rPr>
          <w:rFonts w:ascii="Arial" w:hAnsi="Arial" w:cs="Arial"/>
        </w:rPr>
        <w:t xml:space="preserve">000 euros (IVA excluido), salvo en el caso de redes de calor, en cuyo </w:t>
      </w:r>
      <w:r w:rsidR="00554E2E" w:rsidRPr="0005012B">
        <w:rPr>
          <w:rFonts w:ascii="Arial" w:hAnsi="Arial" w:cs="Arial"/>
        </w:rPr>
        <w:t>caso serán</w:t>
      </w:r>
      <w:r w:rsidRPr="0005012B">
        <w:rPr>
          <w:rFonts w:ascii="Arial" w:hAnsi="Arial" w:cs="Arial"/>
        </w:rPr>
        <w:t xml:space="preserve"> subvencionables los proyectos que conlleven una inversión elegible superior a 100</w:t>
      </w:r>
      <w:r>
        <w:rPr>
          <w:rFonts w:ascii="Arial" w:hAnsi="Arial" w:cs="Arial"/>
        </w:rPr>
        <w:t xml:space="preserve"> </w:t>
      </w:r>
      <w:r w:rsidRPr="0005012B">
        <w:rPr>
          <w:rFonts w:ascii="Arial" w:hAnsi="Arial" w:cs="Arial"/>
        </w:rPr>
        <w:t>000 euros e inferior a 5</w:t>
      </w:r>
      <w:r>
        <w:rPr>
          <w:rFonts w:ascii="Arial" w:hAnsi="Arial" w:cs="Arial"/>
        </w:rPr>
        <w:t xml:space="preserve"> </w:t>
      </w:r>
      <w:r w:rsidRPr="0005012B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</w:t>
      </w:r>
      <w:r w:rsidRPr="0005012B">
        <w:rPr>
          <w:rFonts w:ascii="Arial" w:hAnsi="Arial" w:cs="Arial"/>
        </w:rPr>
        <w:t>000 de euros</w:t>
      </w:r>
      <w:r>
        <w:rPr>
          <w:rFonts w:ascii="Arial" w:hAnsi="Arial" w:cs="Arial"/>
        </w:rPr>
        <w:t>.</w:t>
      </w:r>
    </w:p>
    <w:p w14:paraId="7773CD4A" w14:textId="64AFEE22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05012B">
        <w:rPr>
          <w:rFonts w:ascii="Arial" w:hAnsi="Arial" w:cs="Arial"/>
        </w:rPr>
        <w:t xml:space="preserve">cuantía o intensidad de la ayuda no puede exceder los porcentajes siguientes aplicados sobre los costes subvencionables, porcentajes que varían en función de la consideración de empresa que tenga el solicitante: </w:t>
      </w:r>
    </w:p>
    <w:p w14:paraId="309775A3" w14:textId="77777777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a)</w:t>
      </w:r>
      <w:r w:rsidRPr="0005012B">
        <w:rPr>
          <w:rFonts w:ascii="Arial" w:hAnsi="Arial" w:cs="Arial"/>
        </w:rPr>
        <w:tab/>
        <w:t>Gran empresa: 30%</w:t>
      </w:r>
    </w:p>
    <w:p w14:paraId="3D88BB77" w14:textId="77777777" w:rsidR="0005012B" w:rsidRP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b)</w:t>
      </w:r>
      <w:r w:rsidRPr="0005012B">
        <w:rPr>
          <w:rFonts w:ascii="Arial" w:hAnsi="Arial" w:cs="Arial"/>
        </w:rPr>
        <w:tab/>
        <w:t>Mediana empresa: 40%</w:t>
      </w:r>
    </w:p>
    <w:p w14:paraId="1D7D87B7" w14:textId="418CA87C" w:rsidR="0005012B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 w:rsidRPr="0005012B">
        <w:rPr>
          <w:rFonts w:ascii="Arial" w:hAnsi="Arial" w:cs="Arial"/>
        </w:rPr>
        <w:t>c)</w:t>
      </w:r>
      <w:r w:rsidRPr="0005012B">
        <w:rPr>
          <w:rFonts w:ascii="Arial" w:hAnsi="Arial" w:cs="Arial"/>
        </w:rPr>
        <w:tab/>
        <w:t>Pequeña empresa: 50%</w:t>
      </w:r>
    </w:p>
    <w:p w14:paraId="439FB3BE" w14:textId="03706776" w:rsidR="001E29A3" w:rsidRDefault="001E29A3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 cuantías se podrán incrementar en un 5</w:t>
      </w:r>
      <w:proofErr w:type="gramStart"/>
      <w:r>
        <w:rPr>
          <w:rFonts w:ascii="Arial" w:hAnsi="Arial" w:cs="Arial"/>
        </w:rPr>
        <w:t>%  para</w:t>
      </w:r>
      <w:proofErr w:type="gramEnd"/>
      <w:r>
        <w:rPr>
          <w:rFonts w:ascii="Arial" w:hAnsi="Arial" w:cs="Arial"/>
        </w:rPr>
        <w:t xml:space="preserve"> los solicitantes de  establecimientos de las provincias de Soria, Salamanca y Zamora.</w:t>
      </w:r>
    </w:p>
    <w:p w14:paraId="0A3DD8A9" w14:textId="01AD871E" w:rsidR="004B40FE" w:rsidRDefault="004B40FE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</w:p>
    <w:p w14:paraId="55164F5B" w14:textId="77777777" w:rsidR="000D1AB6" w:rsidRDefault="000D1AB6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información en </w:t>
      </w:r>
    </w:p>
    <w:p w14:paraId="79253474" w14:textId="6A582C98" w:rsidR="004B40FE" w:rsidRDefault="000D1AB6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  <w:hyperlink r:id="rId5" w:history="1">
        <w:r w:rsidRPr="002A5B2F">
          <w:rPr>
            <w:rStyle w:val="Hipervnculo"/>
            <w:rFonts w:ascii="Arial" w:hAnsi="Arial" w:cs="Arial"/>
          </w:rPr>
          <w:t>https://www.tramitacastillayleon.jcyl.es/web/jc</w:t>
        </w:r>
        <w:r w:rsidRPr="002A5B2F">
          <w:rPr>
            <w:rStyle w:val="Hipervnculo"/>
            <w:rFonts w:ascii="Arial" w:hAnsi="Arial" w:cs="Arial"/>
          </w:rPr>
          <w:t>y</w:t>
        </w:r>
        <w:r w:rsidRPr="002A5B2F">
          <w:rPr>
            <w:rStyle w:val="Hipervnculo"/>
            <w:rFonts w:ascii="Arial" w:hAnsi="Arial" w:cs="Arial"/>
          </w:rPr>
          <w:t>l/AdministracionElectronica/es/Plantilla100Detalle/1251181050732/Ayuda012/1285231278075/Propuesta</w:t>
        </w:r>
      </w:hyperlink>
    </w:p>
    <w:p w14:paraId="193B85AC" w14:textId="77777777" w:rsidR="000D1AB6" w:rsidRDefault="000D1AB6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</w:p>
    <w:p w14:paraId="15848BE7" w14:textId="77777777" w:rsidR="0005012B" w:rsidRPr="005F3588" w:rsidRDefault="0005012B" w:rsidP="0005012B">
      <w:pPr>
        <w:spacing w:before="100" w:beforeAutospacing="1" w:after="240" w:line="240" w:lineRule="auto"/>
        <w:jc w:val="both"/>
        <w:rPr>
          <w:rFonts w:ascii="Arial" w:hAnsi="Arial" w:cs="Arial"/>
        </w:rPr>
      </w:pPr>
    </w:p>
    <w:p w14:paraId="3DB82FC2" w14:textId="5E0CFAD2" w:rsidR="005F3588" w:rsidRDefault="005F3588" w:rsidP="005F3588">
      <w:pPr>
        <w:jc w:val="both"/>
      </w:pPr>
    </w:p>
    <w:p w14:paraId="32FF1FDC" w14:textId="77777777" w:rsidR="005F3588" w:rsidRDefault="005F3588" w:rsidP="005F3588">
      <w:pPr>
        <w:jc w:val="both"/>
      </w:pPr>
    </w:p>
    <w:sectPr w:rsidR="005F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8178D"/>
    <w:multiLevelType w:val="multilevel"/>
    <w:tmpl w:val="A98CFA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E58B2"/>
    <w:multiLevelType w:val="multilevel"/>
    <w:tmpl w:val="DFE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42154">
    <w:abstractNumId w:val="1"/>
  </w:num>
  <w:num w:numId="2" w16cid:durableId="94997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8"/>
    <w:rsid w:val="0005012B"/>
    <w:rsid w:val="000D1AB6"/>
    <w:rsid w:val="001E29A3"/>
    <w:rsid w:val="004B40FE"/>
    <w:rsid w:val="00554E2E"/>
    <w:rsid w:val="005F3588"/>
    <w:rsid w:val="006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725D"/>
  <w15:chartTrackingRefBased/>
  <w15:docId w15:val="{4D897875-EC60-465C-B0DC-F305C88E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A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1A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A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mitacastillayleon.jcyl.es/web/jcyl/AdministracionElectronica/es/Plantilla100Detalle/1251181050732/Ayuda012/1285231278075/Propu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4</cp:revision>
  <dcterms:created xsi:type="dcterms:W3CDTF">2022-12-28T12:17:00Z</dcterms:created>
  <dcterms:modified xsi:type="dcterms:W3CDTF">2022-12-29T14:26:00Z</dcterms:modified>
</cp:coreProperties>
</file>